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B8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1F2329"/>
          <w:sz w:val="28"/>
          <w:szCs w:val="28"/>
        </w:rPr>
        <w:t>Application Cases of Three-in-One Equipment in Different Fields</w:t>
      </w:r>
    </w:p>
    <w:p w14:paraId="5B0C6292">
      <w:pPr>
        <w:rPr>
          <w:rFonts w:hint="default"/>
        </w:rPr>
      </w:pPr>
    </w:p>
    <w:p w14:paraId="0D7179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Fonts w:hint="default" w:ascii="Times New Roman" w:hAnsi="Times New Roman" w:cs="Times New Roman"/>
          <w:color w:val="1F2329"/>
          <w:sz w:val="19"/>
          <w:szCs w:val="19"/>
        </w:rPr>
        <w:t>I. Pharmaceutical Industry (Aseptic Active Pharmaceutical Ingredients)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934"/>
        <w:gridCol w:w="2146"/>
        <w:gridCol w:w="2226"/>
        <w:gridCol w:w="1153"/>
      </w:tblGrid>
      <w:tr w14:paraId="30B5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E619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CE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D1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B1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8C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Compliance Certification</w:t>
            </w:r>
          </w:p>
        </w:tc>
      </w:tr>
      <w:tr w14:paraId="7308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5306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Union Pharmaceutical(a leading domestic manufacturer of aseptic APIs)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15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Long production cycle of antibiotic APIs (8 hours/batch with traditional process)2. High risk of cross-contamination during material transfer, making it difficult to pass GMP certification3. Large solvent loss (300L/batch)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40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Aseptic three-in-one equipment:1. Material: 316L stainless steel (mirror finish, Ra≤0.4)2. Agitation: Full-cavity lifting paddle (double mechanical seal)3. Drying: Vacuum + jacket heating (≤60℃)4. Auxiliary: CIP/SIP online cleaning and sterilization, OEB4 level closed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B7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Production cycle shortened to 4.5 hours, batch output increased by 20%2. Cross-contamination risk reduced by 95%, OEE reached 95%3. Solvent loss reduced by 40%, saving over 2 million yuan annually4. Successfully passed GMP/FDA on-site certification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66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GMP, FDA 21 CFR Part 210/211</w:t>
            </w:r>
          </w:p>
        </w:tc>
      </w:tr>
    </w:tbl>
    <w:p w14:paraId="62A7D6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Fonts w:hint="default" w:ascii="Times New Roman" w:hAnsi="Times New Roman" w:cs="Times New Roman"/>
          <w:color w:val="1F2329"/>
          <w:sz w:val="19"/>
          <w:szCs w:val="19"/>
        </w:rPr>
        <w:t>II. Fine Chemical Industry (Pesticide/Dye Intermediates)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923"/>
        <w:gridCol w:w="2512"/>
        <w:gridCol w:w="2264"/>
        <w:gridCol w:w="1324"/>
      </w:tblGrid>
      <w:tr w14:paraId="67F7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CA4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22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25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59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F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Compliance Certification</w:t>
            </w:r>
          </w:p>
        </w:tc>
      </w:tr>
      <w:tr w14:paraId="546C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179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A large fine chemical enterprise (Yangtze River Delta region)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D5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Strongly acidic pesticide intermediates (pH=1) corrode equipment2. Low washing efficiency and high impurity residue3. Large consumption of washing water, leading to heavy environmental pressure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85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Customized three-in-one equipment by Shanghai Lüjing Machinery:1. Material: Duplex stainless steel 2205 (high corrosion resistance)2. Filtration medium: Sintered titanium filter element (10μm)3. Agitation: Anchor type with scraper (explosion-proof variable frequency)4. Auxiliary: Multi-stage displacement washing + solvent recovery module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36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Continuous operation for 72 hours without material corrosion2. Solid-liquid separation efficiency improved by 35%, impurity residue reduced to below 0.01%3. Washing water consumption reduced by 28%, wastewater discharge decreased by 30%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2B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ATEX explosion-proof, environmental emission ≤30mg/m³</w:t>
            </w:r>
          </w:p>
        </w:tc>
      </w:tr>
    </w:tbl>
    <w:p w14:paraId="79FA68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Fonts w:hint="default" w:ascii="Times New Roman" w:hAnsi="Times New Roman" w:cs="Times New Roman"/>
          <w:color w:val="1F2329"/>
          <w:sz w:val="19"/>
          <w:szCs w:val="19"/>
        </w:rPr>
        <w:t>III. New Energy Materials Industry (Lithium Battery Cathode Materials)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959"/>
        <w:gridCol w:w="2434"/>
        <w:gridCol w:w="2257"/>
        <w:gridCol w:w="1162"/>
      </w:tblGrid>
      <w:tr w14:paraId="4A04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B8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4B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7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38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B7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2DDA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0590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A leading lithium battery material enterprise (Guangdong Province)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01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Excessive impurities (Fe, Cu) in ternary materials (NCM)2. Susceptible to oxidation, oxygen content difficult to control (＞0.3% with traditional process)3. High drying energy consumption, water content ＞0.2%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56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Guoji General MY Series three-in-one equipment:1. Material: Titanium alloy (resistant to electrolyte corrosion)2. Filtration medium: Basket-type sintered mesh (filtration efficiency ≥95%)3. Drying: Vacuum + nitrogen protection (oxygen content ≤0.2%)4. Auxiliary: Online oxygen content analysis + automatic pulping and washing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27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Impurity removal rate ≥99%, product purity reaches 99.9%2. Oxygen content stably controlled between 0.15%-0.25%3. Water content reduced to below 0.1%, energy consumption decreased by 25%4. Batch cycle shortened from 20 hours to 10 hours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D6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GB/T 30038 (Lithium Battery Material Standard)</w:t>
            </w:r>
          </w:p>
        </w:tc>
      </w:tr>
    </w:tbl>
    <w:p w14:paraId="3B7904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Fonts w:hint="default" w:ascii="Times New Roman" w:hAnsi="Times New Roman" w:cs="Times New Roman"/>
          <w:color w:val="1F2329"/>
          <w:sz w:val="19"/>
          <w:szCs w:val="19"/>
        </w:rPr>
        <w:t>IV. Food Industry (Functional Ingredients)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1905"/>
        <w:gridCol w:w="2057"/>
        <w:gridCol w:w="1988"/>
        <w:gridCol w:w="1112"/>
      </w:tblGrid>
      <w:tr w14:paraId="1113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CAD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AD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EE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7A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07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14D1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1DF4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Probiotic powder manufacturer(Shandong Province)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3B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Thermosensitive materials (probiotics) are prone to inactivation at high temperatures2. Traditional drying equipment has many sanitary dead corners, resulting in excessive total bacterial count3. Target water content ≤5%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DF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Customized hygienic compact three-in-one equipment:1. Material: Food-grade 316L stainless steel (inner wall Ra≤0.8)2. Filtration medium: Food-grade polypropylene filter membrane (5μm)3. Drying: Vacuum low temperature (≤45℃)4. Auxiliary: 100% coverage CIP cleaning + online foreign matter detection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DE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Probiotic survival rate increased by 30%, active ingredient retention rate ≥95%2. Total bacterial count ≤10CFU/g, meeting food hygiene standards3. Final water content stably maintained at 3%-4%, product shelf life extended by 6 months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59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GB 16798 (Food Contact Material Standard)</w:t>
            </w:r>
          </w:p>
        </w:tc>
      </w:tr>
    </w:tbl>
    <w:p w14:paraId="54B54F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Fonts w:hint="default" w:ascii="Times New Roman" w:hAnsi="Times New Roman" w:cs="Times New Roman"/>
          <w:color w:val="1F2329"/>
          <w:sz w:val="19"/>
          <w:szCs w:val="19"/>
        </w:rPr>
        <w:t>V. Semiconductor/Hydrogen Energy Industry (High-Purity Materials)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2135"/>
        <w:gridCol w:w="2259"/>
        <w:gridCol w:w="2048"/>
        <w:gridCol w:w="1162"/>
      </w:tblGrid>
      <w:tr w14:paraId="0249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3508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E9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10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2D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17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1270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0698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Huadian Engineering Green Hydrogen Project(Damao Banner, Inner Mongolia)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86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Hydrogen purity for fuel cells needs to reach 99.999%2. Removal of trace moisture (dew point ≤-70℃) and particles (＜0.1μm) required3. Adapt to fluctuating working conditions of wind/photovoltaic hydrogen production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50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Ultra-high purity three-in-one purification equipment:1. Material: High-purity 316L + PTFE coating (zero precipitation)2. Filtration medium: Nanoceramic membrane (0.01μm)3. Drying: Vacuum + ultra-low dew point drying (dew point ≤-70℃)4. Auxiliary: Online particle counter + high-purity gas purification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6B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Hydrogen purity reaches 99.999%, residual oxygen content below 1ppmv2. Particle retention rate ≥99.9%, fully meeting fuel cell requirements3. Zero hydrogen loss, fully automatic operation without manual intervention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83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ISO 14687-2 (Hydrogen Energy Standard), SEMI F47</w:t>
            </w:r>
          </w:p>
        </w:tc>
      </w:tr>
    </w:tbl>
    <w:p w14:paraId="0B71D3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Fonts w:hint="default" w:ascii="Times New Roman" w:hAnsi="Times New Roman" w:cs="Times New Roman"/>
          <w:color w:val="1F2329"/>
          <w:sz w:val="19"/>
          <w:szCs w:val="19"/>
        </w:rPr>
        <w:t>VI. Environmental Protection Industry (Hazardous Waste Treatment)</w:t>
      </w:r>
    </w:p>
    <w:tbl>
      <w:tblPr>
        <w:tblStyle w:val="10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789"/>
        <w:gridCol w:w="1991"/>
        <w:gridCol w:w="2347"/>
        <w:gridCol w:w="1319"/>
      </w:tblGrid>
      <w:tr w14:paraId="71E3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9F6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Case Subject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1D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Core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59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Equipment Configuration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4F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Implementation Effect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E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F2329"/>
                <w:kern w:val="0"/>
                <w:sz w:val="19"/>
                <w:szCs w:val="19"/>
                <w:lang w:val="en-US" w:eastAsia="zh-CN" w:bidi="ar"/>
              </w:rPr>
              <w:t>Compliance Standard</w:t>
            </w:r>
          </w:p>
        </w:tc>
      </w:tr>
      <w:tr w14:paraId="7C03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DE9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Chemical hazardous waste treatment enterprise(Jiangsu Province)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E6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Spray waste contains corrosive solvents, prone to leakage during treatment2. Large volume of solid waste, urgent need for volume reduction3. Low solvent recovery efficiency, heavy environmental pressure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C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Explosion-proof three-in-one equipment:1. Material: Hastelloy (high corrosion resistance)2. Agitation: Ribbon-type high-power stirring (explosion-proof servo motor)3. Drying: Vacuum + waste heat recovery4. Auxiliary: Solvent recovery module (recovery rate ≥90%)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0A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1. Fully closed operation, zero solvent leakage, meeting environmental emission requirements2. Solid waste volume reduced by 60%, achieving volume reduction target3. Solvent recovery rate reaches 92%, annual recovered solvent value exceeds 1 million yuan4. Continuous operation service life of equipment reaches over 8000 hours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1B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1F2329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1F2329"/>
                <w:kern w:val="0"/>
                <w:sz w:val="19"/>
                <w:szCs w:val="19"/>
                <w:lang w:val="en-US" w:eastAsia="zh-CN" w:bidi="ar"/>
              </w:rPr>
              <w:t>Environmental emission ≤30mg/m³, ATEX explosion-proof</w:t>
            </w:r>
          </w:p>
        </w:tc>
      </w:tr>
    </w:tbl>
    <w:p w14:paraId="40A1DF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Fonts w:hint="default" w:ascii="Times New Roman" w:hAnsi="Times New Roman" w:cs="Times New Roman"/>
          <w:color w:val="1F2329"/>
          <w:sz w:val="19"/>
          <w:szCs w:val="19"/>
        </w:rPr>
        <w:t>Core Insights from Cases</w:t>
      </w:r>
    </w:p>
    <w:p w14:paraId="63F005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Fonts w:hint="default" w:ascii="Times New Roman" w:hAnsi="Times New Roman" w:cs="Times New Roman"/>
          <w:color w:val="1F2329"/>
          <w:sz w:val="19"/>
          <w:szCs w:val="19"/>
        </w:rPr>
      </w:pPr>
    </w:p>
    <w:p w14:paraId="5D1557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</w:pPr>
      <w:r>
        <w:rPr>
          <w:rStyle w:val="12"/>
          <w:rFonts w:hint="default" w:ascii="Times New Roman" w:hAnsi="Times New Roman" w:eastAsia="宋体" w:cs="Times New Roman"/>
          <w:b/>
          <w:bCs/>
          <w:color w:val="1F2329"/>
          <w:kern w:val="0"/>
          <w:sz w:val="19"/>
          <w:szCs w:val="19"/>
          <w:lang w:val="en-US" w:eastAsia="zh-CN" w:bidi="ar"/>
        </w:rPr>
        <w:t>Material Adaptation is the Foundation</w:t>
      </w:r>
      <w:r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  <w:t>For highly corrosive scenarios (pH＜2 or pH＞12), duplex stainless steel/titanium/Hastelloy is preferred; for high-purity/aseptic scenarios, zero-precipitation materials (e.g., PTFE coating) are required.</w:t>
      </w:r>
    </w:p>
    <w:p w14:paraId="6D98A1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</w:pPr>
    </w:p>
    <w:p w14:paraId="5C00E09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</w:pPr>
      <w:r>
        <w:rPr>
          <w:rStyle w:val="12"/>
          <w:rFonts w:hint="default" w:ascii="Times New Roman" w:hAnsi="Times New Roman" w:eastAsia="宋体" w:cs="Times New Roman"/>
          <w:b/>
          <w:bCs/>
          <w:color w:val="1F2329"/>
          <w:kern w:val="0"/>
          <w:sz w:val="19"/>
          <w:szCs w:val="19"/>
          <w:lang w:val="en-US" w:eastAsia="zh-CN" w:bidi="ar"/>
        </w:rPr>
        <w:t>Process Optimization is the Core</w:t>
      </w:r>
      <w:r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  <w:t>Vacuum low-temperature drying is suitable for thermosensitive materials; nitrogen protection is added for oxidation-prone materials; and scraper-equipped agitation is configured for high-viscosity materials.</w:t>
      </w:r>
    </w:p>
    <w:p w14:paraId="14A108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0" w:right="0" w:rightChars="0"/>
        <w:jc w:val="left"/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</w:pPr>
    </w:p>
    <w:p w14:paraId="1DB76D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</w:pPr>
      <w:r>
        <w:rPr>
          <w:rStyle w:val="12"/>
          <w:rFonts w:hint="default" w:ascii="Times New Roman" w:hAnsi="Times New Roman" w:eastAsia="宋体" w:cs="Times New Roman"/>
          <w:b/>
          <w:bCs/>
          <w:color w:val="1F2329"/>
          <w:kern w:val="0"/>
          <w:sz w:val="19"/>
          <w:szCs w:val="19"/>
          <w:lang w:val="en-US" w:eastAsia="zh-CN" w:bidi="ar"/>
        </w:rPr>
        <w:t>Quantified Benefits are the Key</w:t>
      </w:r>
      <w:r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  <w:t xml:space="preserve">High-quality equipment can achieve triple benefits: </w:t>
      </w:r>
      <w:r>
        <w:rPr>
          <w:rStyle w:val="12"/>
          <w:rFonts w:hint="default" w:ascii="Times New Roman" w:hAnsi="Times New Roman" w:eastAsia="宋体" w:cs="Times New Roman"/>
          <w:b/>
          <w:bCs/>
          <w:color w:val="1F2329"/>
          <w:kern w:val="0"/>
          <w:sz w:val="19"/>
          <w:szCs w:val="19"/>
          <w:lang w:val="en-US" w:eastAsia="zh-CN" w:bidi="ar"/>
        </w:rPr>
        <w:t>30%-50% shorter cycle time, 25%-40% lower energy consumption, and ≥99% impurity removal rate</w:t>
      </w:r>
      <w:r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  <w:t>.</w:t>
      </w:r>
    </w:p>
    <w:p w14:paraId="240F74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0" w:right="0" w:rightChars="0"/>
        <w:jc w:val="left"/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</w:pPr>
    </w:p>
    <w:p w14:paraId="3E6D7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Times New Roman" w:hAnsi="Times New Roman" w:cs="Times New Roman"/>
          <w:color w:val="1F2329"/>
          <w:sz w:val="19"/>
          <w:szCs w:val="19"/>
        </w:rPr>
      </w:pPr>
      <w:r>
        <w:rPr>
          <w:rStyle w:val="12"/>
          <w:rFonts w:hint="eastAsia" w:ascii="Times New Roman" w:hAnsi="Times New Roman" w:eastAsia="宋体" w:cs="Times New Roman"/>
          <w:b/>
          <w:bCs/>
          <w:color w:val="1F2329"/>
          <w:kern w:val="0"/>
          <w:sz w:val="19"/>
          <w:szCs w:val="19"/>
          <w:lang w:val="en-US" w:eastAsia="zh-CN" w:bidi="ar"/>
        </w:rPr>
        <w:t>4.</w:t>
      </w:r>
      <w:r>
        <w:rPr>
          <w:rStyle w:val="12"/>
          <w:rFonts w:hint="default" w:ascii="Times New Roman" w:hAnsi="Times New Roman" w:eastAsia="宋体" w:cs="Times New Roman"/>
          <w:b/>
          <w:bCs/>
          <w:color w:val="1F2329"/>
          <w:kern w:val="0"/>
          <w:sz w:val="19"/>
          <w:szCs w:val="19"/>
          <w:lang w:val="en-US" w:eastAsia="zh-CN" w:bidi="ar"/>
        </w:rPr>
        <w:t>Compliance Certification is the Prerequisite</w:t>
      </w:r>
      <w:r>
        <w:rPr>
          <w:rFonts w:hint="default" w:ascii="Times New Roman" w:hAnsi="Times New Roman" w:eastAsia="宋体" w:cs="Times New Roman"/>
          <w:color w:val="1F2329"/>
          <w:kern w:val="0"/>
          <w:sz w:val="19"/>
          <w:szCs w:val="19"/>
          <w:lang w:val="en-US" w:eastAsia="zh-CN" w:bidi="ar"/>
        </w:rPr>
        <w:t>The pharmaceutical industry requires GMP/FDA certification; the chemical industry requires explosion-proof certification; and the hydrogen energy/semiconductor industry requires SEMI/ISO special standards.</w:t>
      </w:r>
    </w:p>
    <w:p w14:paraId="1EB12A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Fonts w:hint="default" w:ascii="Times New Roman" w:hAnsi="Times New Roman" w:cs="Times New Roman"/>
          <w:color w:val="1F2329"/>
          <w:sz w:val="19"/>
          <w:szCs w:val="19"/>
        </w:rPr>
      </w:pPr>
    </w:p>
    <w:p w14:paraId="45A8E35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A6E79"/>
    <w:multiLevelType w:val="singleLevel"/>
    <w:tmpl w:val="975A6E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32C4FB6"/>
    <w:rsid w:val="1E82184E"/>
    <w:rsid w:val="408D2208"/>
    <w:rsid w:val="69285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1224</Words>
  <Characters>1466</Characters>
  <TotalTime>34</TotalTime>
  <ScaleCrop>false</ScaleCrop>
  <LinksUpToDate>false</LinksUpToDate>
  <CharactersWithSpaces>1574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2026-01-06T01:16:00Z</dcterms:created>
  <dc:creator>Un-named</dc:creator>
  <cp:lastModifiedBy>打怪兽</cp:lastModifiedBy>
  <dcterms:modified xsi:type="dcterms:W3CDTF">2026-02-05T03:48:57Z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eyJoZGlkIjoiZjFmZWIzNDg2MmIzZjExOTIzMmViNTBmYTMwYTk0ZWYiLCJ1c2VySWQiOiIyODE3MDk5OTgifQ==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5248AEEB3C874FDC8381541D247A54D8_13</vt:lpwstr>
  </property>
</Properties>
</file>